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1D2A4E">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13A3DE63">
      <w:pPr>
        <w:autoSpaceDE w:val="0"/>
        <w:autoSpaceDN w:val="0"/>
        <w:adjustRightInd w:val="0"/>
        <w:jc w:val="left"/>
        <w:rPr>
          <w:rFonts w:hint="eastAsia"/>
          <w:b/>
          <w:sz w:val="28"/>
          <w:szCs w:val="28"/>
        </w:rPr>
      </w:pPr>
      <w:r>
        <w:rPr>
          <w:rFonts w:hint="eastAsia"/>
          <w:b/>
          <w:sz w:val="28"/>
          <w:szCs w:val="28"/>
        </w:rPr>
        <w:t xml:space="preserve">PIK3CA </w:t>
      </w:r>
      <w:r>
        <w:rPr>
          <w:rFonts w:hint="eastAsia"/>
          <w:b/>
          <w:sz w:val="28"/>
          <w:szCs w:val="28"/>
          <w:lang/>
        </w:rPr>
        <w:t>(</w:t>
      </w:r>
      <w:r>
        <w:rPr>
          <w:rFonts w:hint="eastAsia"/>
          <w:b/>
          <w:sz w:val="28"/>
          <w:szCs w:val="28"/>
        </w:rPr>
        <w:t>G1049S</w:t>
      </w:r>
      <w:r>
        <w:rPr>
          <w:rFonts w:hint="eastAsia"/>
          <w:b/>
          <w:sz w:val="28"/>
          <w:szCs w:val="28"/>
          <w:lang/>
        </w:rPr>
        <w:t>)</w:t>
      </w:r>
    </w:p>
    <w:p w14:paraId="72391D6A">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26219</w:t>
      </w:r>
    </w:p>
    <w:p w14:paraId="4847B2AE">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3C5B92EF">
      <w:pPr>
        <w:autoSpaceDE w:val="0"/>
        <w:autoSpaceDN w:val="0"/>
        <w:adjustRightInd w:val="0"/>
        <w:jc w:val="left"/>
        <w:rPr>
          <w:b/>
          <w:szCs w:val="21"/>
        </w:rPr>
      </w:pPr>
      <w:r>
        <w:rPr>
          <w:b/>
          <w:szCs w:val="21"/>
        </w:rPr>
        <w:t xml:space="preserve">Description: </w:t>
      </w:r>
      <w:r>
        <w:rPr>
          <w:szCs w:val="21"/>
        </w:rPr>
        <w:t>Anti-</w:t>
      </w:r>
      <w:r>
        <w:rPr>
          <w:rFonts w:hint="eastAsia"/>
          <w:szCs w:val="21"/>
        </w:rPr>
        <w:t>PIK3CA (G1049S) Mouse</w:t>
      </w:r>
      <w:r>
        <w:rPr>
          <w:rFonts w:hint="eastAsia"/>
          <w:szCs w:val="21"/>
          <w:lang/>
        </w:rPr>
        <w:t xml:space="preserve"> </w:t>
      </w:r>
      <w:r>
        <w:rPr>
          <w:rFonts w:hint="eastAsia"/>
          <w:szCs w:val="21"/>
        </w:rPr>
        <w:t>Monoclonal</w:t>
      </w:r>
      <w:r>
        <w:rPr>
          <w:szCs w:val="21"/>
          <w:lang/>
        </w:rPr>
        <w:t xml:space="preserve"> Antibody</w:t>
      </w:r>
    </w:p>
    <w:p w14:paraId="5CC1D474">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0E99035">
      <w:pPr>
        <w:pStyle w:val="5"/>
        <w:shd w:val="clear" w:color="auto" w:fill="FFFFFF"/>
        <w:rPr>
          <w:rFonts w:ascii="Times New Roman" w:hAnsi="Times New Roman" w:eastAsia="Times New Roman" w:cs="Times New Roman"/>
          <w:vanish/>
          <w:sz w:val="21"/>
          <w:szCs w:val="21"/>
          <w:lang w:val="en"/>
        </w:rPr>
      </w:pPr>
      <w:r>
        <w:rPr>
          <w:rFonts w:ascii="Times New Roman" w:hAnsi="Times New Roman" w:cs="Times New Roman"/>
          <w:b/>
          <w:sz w:val="21"/>
          <w:szCs w:val="21"/>
        </w:rPr>
        <w:t xml:space="preserve">Background: </w:t>
      </w:r>
      <w:r>
        <w:rPr>
          <w:rFonts w:ascii="Times New Roman" w:hAnsi="Times New Roman" w:eastAsia="Times New Roman" w:cs="Times New Roman"/>
          <w:vanish/>
          <w:sz w:val="21"/>
          <w:szCs w:val="21"/>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ascii="Times New Roman" w:hAnsi="Times New Roman" w:eastAsia="Times New Roman" w:cs="Times New Roman"/>
          <w:i/>
          <w:iCs/>
          <w:vanish/>
          <w:sz w:val="21"/>
          <w:szCs w:val="21"/>
          <w:lang w:val="en"/>
        </w:rPr>
        <w:t>PIK3CA</w:t>
      </w:r>
      <w:r>
        <w:rPr>
          <w:rFonts w:ascii="Times New Roman" w:hAnsi="Times New Roman" w:eastAsia="Times New Roman" w:cs="Times New Roman"/>
          <w:vanish/>
          <w:sz w:val="21"/>
          <w:szCs w:val="21"/>
          <w:lang w:val="en"/>
        </w:rPr>
        <w:t xml:space="preserve"> gene encodes p110α, one of the catalytic subunits. </w:t>
      </w:r>
    </w:p>
    <w:p w14:paraId="58EA0748">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color w:val="000000"/>
          <w:sz w:val="21"/>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ascii="Times New Roman" w:hAnsi="Times New Roman" w:cs="Times New Roman"/>
          <w:color w:val="000000"/>
          <w:sz w:val="21"/>
          <w:szCs w:val="21"/>
        </w:rPr>
        <w:t>Mutants of PIK3CA has been found in the pathogenesis of several cancers, including colon cancer, gliomas, gastric cancer, breast cancer, endometrial cancer, and lung cancer.</w:t>
      </w:r>
      <w:r>
        <w:rPr>
          <w:rFonts w:ascii="Times New Roman" w:hAnsi="Times New Roman" w:cs="Times New Roman"/>
          <w:vanish/>
          <w:sz w:val="21"/>
          <w:szCs w:val="21"/>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58199E88">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b/>
          <w:sz w:val="21"/>
          <w:szCs w:val="21"/>
        </w:rPr>
        <w:t>Immunogen:</w:t>
      </w:r>
      <w:r>
        <w:rPr>
          <w:rFonts w:ascii="Times New Roman" w:hAnsi="Times New Roman" w:cs="Times New Roman"/>
          <w:sz w:val="21"/>
          <w:szCs w:val="21"/>
        </w:rPr>
        <w:t xml:space="preserve"> </w:t>
      </w:r>
      <w:r>
        <w:rPr>
          <w:rFonts w:ascii="Times New Roman" w:hAnsi="Times New Roman" w:cs="Times New Roman"/>
          <w:color w:val="000000"/>
          <w:sz w:val="21"/>
          <w:szCs w:val="21"/>
          <w:lang/>
        </w:rPr>
        <w:t xml:space="preserve">A </w:t>
      </w:r>
      <w:r>
        <w:rPr>
          <w:rFonts w:ascii="Times New Roman" w:hAnsi="Times New Roman" w:cs="Times New Roman"/>
          <w:sz w:val="21"/>
          <w:szCs w:val="21"/>
          <w:lang/>
        </w:rPr>
        <w:t>synthetic</w:t>
      </w:r>
      <w:r>
        <w:rPr>
          <w:rFonts w:ascii="Times New Roman" w:hAnsi="Times New Roman" w:cs="Times New Roman"/>
          <w:color w:val="000000"/>
          <w:sz w:val="21"/>
          <w:szCs w:val="21"/>
          <w:lang/>
        </w:rPr>
        <w:t xml:space="preserve"> peptide</w:t>
      </w:r>
      <w:r>
        <w:rPr>
          <w:rFonts w:ascii="Times New Roman" w:hAnsi="Times New Roman" w:cs="Times New Roman"/>
          <w:color w:val="000000"/>
          <w:sz w:val="21"/>
          <w:szCs w:val="21"/>
        </w:rPr>
        <w:t xml:space="preserve"> from</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internal region</w:t>
      </w:r>
      <w:r>
        <w:rPr>
          <w:rFonts w:ascii="Times New Roman" w:hAnsi="Times New Roman" w:cs="Times New Roman"/>
          <w:color w:val="000000"/>
          <w:sz w:val="21"/>
          <w:szCs w:val="21"/>
          <w:lang/>
        </w:rPr>
        <w:t xml:space="preserve"> of </w:t>
      </w:r>
      <w:r>
        <w:rPr>
          <w:rFonts w:ascii="Times New Roman" w:hAnsi="Times New Roman" w:cs="Times New Roman"/>
          <w:color w:val="000000"/>
          <w:sz w:val="21"/>
          <w:szCs w:val="21"/>
        </w:rPr>
        <w:t>PIK3CA which</w:t>
      </w:r>
      <w:r>
        <w:rPr>
          <w:rFonts w:ascii="Times New Roman" w:hAnsi="Times New Roman" w:cs="Times New Roman"/>
          <w:color w:val="000000"/>
          <w:sz w:val="21"/>
          <w:szCs w:val="21"/>
          <w:lang/>
        </w:rPr>
        <w:t xml:space="preserve"> </w:t>
      </w:r>
      <w:r>
        <w:rPr>
          <w:rFonts w:ascii="Times New Roman" w:hAnsi="Times New Roman" w:cs="Times New Roman"/>
          <w:color w:val="000000"/>
          <w:sz w:val="21"/>
          <w:szCs w:val="21"/>
        </w:rPr>
        <w:t>includes</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mutation of G1049S</w:t>
      </w:r>
      <w:r>
        <w:rPr>
          <w:rFonts w:ascii="Times New Roman" w:hAnsi="Times New Roman" w:cs="Times New Roman"/>
          <w:color w:val="000000"/>
          <w:sz w:val="21"/>
          <w:szCs w:val="21"/>
          <w:lang/>
        </w:rPr>
        <w:t>, human origin.</w:t>
      </w:r>
      <w:r>
        <w:rPr>
          <w:rFonts w:ascii="Times New Roman" w:hAnsi="Times New Roman" w:cs="Times New Roman"/>
          <w:b/>
          <w:sz w:val="21"/>
          <w:szCs w:val="21"/>
        </w:rPr>
        <w:t xml:space="preserve"> </w:t>
      </w:r>
    </w:p>
    <w:p w14:paraId="0604EEB8">
      <w:pPr>
        <w:autoSpaceDE w:val="0"/>
        <w:autoSpaceDN w:val="0"/>
        <w:adjustRightInd w:val="0"/>
        <w:jc w:val="left"/>
        <w:rPr>
          <w:szCs w:val="21"/>
        </w:rPr>
      </w:pPr>
      <w:r>
        <w:rPr>
          <w:b/>
          <w:szCs w:val="21"/>
        </w:rPr>
        <w:t xml:space="preserve">Tested applications: </w:t>
      </w:r>
      <w:r>
        <w:rPr>
          <w:szCs w:val="21"/>
        </w:rPr>
        <w:t xml:space="preserve">ELISA, </w:t>
      </w:r>
      <w:r>
        <w:rPr>
          <w:szCs w:val="21"/>
          <w:lang/>
        </w:rPr>
        <w:t>WB</w:t>
      </w:r>
    </w:p>
    <w:p w14:paraId="3FD3F7D9">
      <w:pPr>
        <w:autoSpaceDE w:val="0"/>
        <w:autoSpaceDN w:val="0"/>
        <w:adjustRightInd w:val="0"/>
        <w:jc w:val="left"/>
        <w:rPr>
          <w:szCs w:val="21"/>
        </w:rPr>
      </w:pPr>
      <w:r>
        <w:rPr>
          <w:b/>
          <w:szCs w:val="21"/>
        </w:rPr>
        <w:t>Recommended dilutions:</w:t>
      </w:r>
    </w:p>
    <w:p w14:paraId="50D840E3">
      <w:pPr>
        <w:autoSpaceDE w:val="0"/>
        <w:autoSpaceDN w:val="0"/>
        <w:adjustRightInd w:val="0"/>
        <w:jc w:val="left"/>
        <w:rPr>
          <w:szCs w:val="21"/>
        </w:rPr>
      </w:pPr>
      <w:r>
        <w:rPr>
          <w:szCs w:val="21"/>
        </w:rPr>
        <w:t>ELISA:  1:1000-1:5000</w:t>
      </w:r>
    </w:p>
    <w:p w14:paraId="60A2FF93">
      <w:pPr>
        <w:autoSpaceDE w:val="0"/>
        <w:autoSpaceDN w:val="0"/>
        <w:adjustRightInd w:val="0"/>
        <w:jc w:val="left"/>
        <w:rPr>
          <w:szCs w:val="21"/>
          <w:lang/>
        </w:rPr>
      </w:pPr>
      <w:r>
        <w:rPr>
          <w:szCs w:val="21"/>
          <w:lang/>
        </w:rPr>
        <w:t>WB:     1:500-1:</w:t>
      </w:r>
      <w:r>
        <w:rPr>
          <w:szCs w:val="21"/>
        </w:rPr>
        <w:t>2</w:t>
      </w:r>
      <w:r>
        <w:rPr>
          <w:szCs w:val="21"/>
          <w:lang/>
        </w:rPr>
        <w:t>000</w:t>
      </w:r>
    </w:p>
    <w:p w14:paraId="04394D20">
      <w:pPr>
        <w:autoSpaceDE w:val="0"/>
        <w:autoSpaceDN w:val="0"/>
        <w:adjustRightInd w:val="0"/>
        <w:jc w:val="left"/>
        <w:rPr>
          <w:szCs w:val="21"/>
        </w:rPr>
      </w:pPr>
      <w:r>
        <w:rPr>
          <w:b/>
          <w:szCs w:val="21"/>
        </w:rPr>
        <w:t>Concentration:</w:t>
      </w:r>
      <w:r>
        <w:rPr>
          <w:szCs w:val="21"/>
        </w:rPr>
        <w:t xml:space="preserve"> 1 </w:t>
      </w:r>
      <w:r>
        <w:rPr>
          <w:szCs w:val="21"/>
          <w:lang/>
        </w:rPr>
        <w:t>mg/ml</w:t>
      </w:r>
    </w:p>
    <w:p w14:paraId="31B2B23C">
      <w:pPr>
        <w:autoSpaceDE w:val="0"/>
        <w:autoSpaceDN w:val="0"/>
        <w:adjustRightInd w:val="0"/>
        <w:jc w:val="left"/>
        <w:rPr>
          <w:szCs w:val="21"/>
        </w:rPr>
      </w:pPr>
      <w:r>
        <w:rPr>
          <w:b/>
          <w:szCs w:val="21"/>
        </w:rPr>
        <w:t xml:space="preserve">Host: </w:t>
      </w:r>
      <w:r>
        <w:rPr>
          <w:szCs w:val="21"/>
        </w:rPr>
        <w:t>Mouse</w:t>
      </w:r>
    </w:p>
    <w:p w14:paraId="6A6647BF">
      <w:pPr>
        <w:autoSpaceDE w:val="0"/>
        <w:autoSpaceDN w:val="0"/>
        <w:adjustRightInd w:val="0"/>
        <w:jc w:val="left"/>
        <w:rPr>
          <w:szCs w:val="21"/>
        </w:rPr>
      </w:pPr>
      <w:r>
        <w:rPr>
          <w:b/>
          <w:szCs w:val="21"/>
        </w:rPr>
        <w:t>Clonality:</w:t>
      </w:r>
      <w:r>
        <w:rPr>
          <w:szCs w:val="21"/>
        </w:rPr>
        <w:t xml:space="preserve"> Monoclonal</w:t>
      </w:r>
    </w:p>
    <w:p w14:paraId="1BB00933">
      <w:pPr>
        <w:autoSpaceDE w:val="0"/>
        <w:autoSpaceDN w:val="0"/>
        <w:adjustRightInd w:val="0"/>
        <w:jc w:val="left"/>
        <w:rPr>
          <w:szCs w:val="21"/>
        </w:rPr>
      </w:pPr>
      <w:r>
        <w:rPr>
          <w:b/>
          <w:szCs w:val="21"/>
        </w:rPr>
        <w:t xml:space="preserve">Purity: </w:t>
      </w:r>
      <w:r>
        <w:rPr>
          <w:szCs w:val="21"/>
          <w:lang/>
        </w:rPr>
        <w:t xml:space="preserve">Purified from </w:t>
      </w:r>
      <w:r>
        <w:rPr>
          <w:szCs w:val="21"/>
        </w:rPr>
        <w:t>ascites</w:t>
      </w:r>
    </w:p>
    <w:p w14:paraId="134221EE">
      <w:pPr>
        <w:autoSpaceDE w:val="0"/>
        <w:autoSpaceDN w:val="0"/>
        <w:adjustRightInd w:val="0"/>
        <w:jc w:val="left"/>
        <w:rPr>
          <w:szCs w:val="21"/>
        </w:rPr>
      </w:pPr>
      <w:r>
        <w:rPr>
          <w:b/>
          <w:szCs w:val="21"/>
        </w:rPr>
        <w:t>Format:</w:t>
      </w:r>
      <w:r>
        <w:rPr>
          <w:szCs w:val="21"/>
        </w:rPr>
        <w:t xml:space="preserve"> </w:t>
      </w:r>
      <w:r>
        <w:rPr>
          <w:szCs w:val="21"/>
          <w:lang/>
        </w:rPr>
        <w:t>Liquid</w:t>
      </w:r>
    </w:p>
    <w:p w14:paraId="22008282">
      <w:pPr>
        <w:autoSpaceDE w:val="0"/>
        <w:autoSpaceDN w:val="0"/>
        <w:adjustRightInd w:val="0"/>
        <w:jc w:val="left"/>
        <w:rPr>
          <w:szCs w:val="21"/>
        </w:rPr>
      </w:pPr>
      <w:r>
        <w:rPr>
          <w:b/>
          <w:szCs w:val="21"/>
        </w:rPr>
        <w:t xml:space="preserve">Storage buffer: </w:t>
      </w:r>
    </w:p>
    <w:p w14:paraId="263EC867">
      <w:pPr>
        <w:autoSpaceDE w:val="0"/>
        <w:autoSpaceDN w:val="0"/>
        <w:adjustRightInd w:val="0"/>
        <w:jc w:val="left"/>
        <w:rPr>
          <w:szCs w:val="21"/>
        </w:rPr>
      </w:pPr>
      <w:r>
        <w:rPr>
          <w:szCs w:val="21"/>
        </w:rPr>
        <w:t xml:space="preserve">Preservative: </w:t>
      </w:r>
      <w:r>
        <w:rPr>
          <w:szCs w:val="21"/>
          <w:lang/>
        </w:rPr>
        <w:t>no</w:t>
      </w:r>
    </w:p>
    <w:p w14:paraId="7B35820E">
      <w:pPr>
        <w:autoSpaceDE w:val="0"/>
        <w:autoSpaceDN w:val="0"/>
        <w:adjustRightInd w:val="0"/>
        <w:jc w:val="left"/>
        <w:rPr>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76BA02F6">
      <w:pPr>
        <w:autoSpaceDE w:val="0"/>
        <w:autoSpaceDN w:val="0"/>
        <w:adjustRightInd w:val="0"/>
        <w:jc w:val="left"/>
        <w:rPr>
          <w:b/>
          <w:szCs w:val="21"/>
        </w:rPr>
      </w:pPr>
      <w:r>
        <w:rPr>
          <w:b/>
          <w:szCs w:val="21"/>
        </w:rPr>
        <w:t xml:space="preserve">Species Reactivity: </w:t>
      </w:r>
      <w:r>
        <w:rPr>
          <w:szCs w:val="21"/>
        </w:rPr>
        <w:t>Recognizes G1049S mutant, but not wild-type PIK3CA of vertebrates.</w:t>
      </w:r>
    </w:p>
    <w:p w14:paraId="24456BF1">
      <w:pPr>
        <w:autoSpaceDE w:val="0"/>
        <w:autoSpaceDN w:val="0"/>
        <w:adjustRightInd w:val="0"/>
        <w:jc w:val="left"/>
        <w:rPr>
          <w:szCs w:val="21"/>
        </w:rPr>
      </w:pPr>
      <w:r>
        <w:rPr>
          <w:b/>
          <w:szCs w:val="21"/>
        </w:rPr>
        <w:t>Storage Conditions:</w:t>
      </w:r>
      <w:r>
        <w:rPr>
          <w:szCs w:val="21"/>
        </w:rPr>
        <w:t xml:space="preserve"> Store at -20°C. Avoid freeze / thaw cycles.</w:t>
      </w:r>
    </w:p>
    <w:p w14:paraId="6F9BD986">
      <w:pPr>
        <w:autoSpaceDE w:val="0"/>
        <w:autoSpaceDN w:val="0"/>
        <w:adjustRightInd w:val="0"/>
        <w:jc w:val="left"/>
        <w:rPr>
          <w:b/>
          <w:szCs w:val="21"/>
        </w:rPr>
      </w:pPr>
    </w:p>
    <w:p w14:paraId="63FF1DF2">
      <w:pPr>
        <w:autoSpaceDE w:val="0"/>
        <w:autoSpaceDN w:val="0"/>
        <w:adjustRightInd w:val="0"/>
        <w:jc w:val="left"/>
        <w:rPr>
          <w:b/>
          <w:szCs w:val="21"/>
        </w:rPr>
      </w:pPr>
    </w:p>
    <w:p w14:paraId="0F343270">
      <w:pPr>
        <w:autoSpaceDE w:val="0"/>
        <w:autoSpaceDN w:val="0"/>
        <w:adjustRightInd w:val="0"/>
        <w:jc w:val="left"/>
        <w:rPr>
          <w:b/>
          <w:szCs w:val="21"/>
        </w:rPr>
      </w:pPr>
    </w:p>
    <w:p w14:paraId="4C72FE4A">
      <w:pPr>
        <w:autoSpaceDE w:val="0"/>
        <w:autoSpaceDN w:val="0"/>
        <w:adjustRightInd w:val="0"/>
        <w:jc w:val="left"/>
        <w:rPr>
          <w:b/>
          <w:szCs w:val="21"/>
        </w:rPr>
      </w:pPr>
    </w:p>
    <w:p w14:paraId="63F81C58">
      <w:pPr>
        <w:autoSpaceDE w:val="0"/>
        <w:autoSpaceDN w:val="0"/>
        <w:adjustRightInd w:val="0"/>
        <w:jc w:val="left"/>
        <w:rPr>
          <w:b/>
          <w:szCs w:val="21"/>
        </w:rPr>
      </w:pPr>
    </w:p>
    <w:p w14:paraId="48FD425A">
      <w:pPr>
        <w:autoSpaceDE w:val="0"/>
        <w:autoSpaceDN w:val="0"/>
        <w:adjustRightInd w:val="0"/>
        <w:jc w:val="left"/>
        <w:rPr>
          <w:szCs w:val="21"/>
          <w:lang/>
        </w:rPr>
      </w:pPr>
      <w:r>
        <w:rPr>
          <w:b/>
          <w:szCs w:val="21"/>
        </w:rPr>
        <w:t>Western blot:</w:t>
      </w:r>
    </w:p>
    <w:p w14:paraId="5C8E5CED">
      <w:pPr>
        <w:autoSpaceDE w:val="0"/>
        <w:autoSpaceDN w:val="0"/>
        <w:adjustRightInd w:val="0"/>
        <w:ind w:right="-422" w:rightChars="-201"/>
        <w:jc w:val="center"/>
        <w:rPr>
          <w:szCs w:val="21"/>
          <w:lang/>
        </w:rPr>
      </w:pPr>
      <w:r>
        <w:rPr>
          <w:szCs w:val="21"/>
          <w:lang/>
        </w:rPr>
        <w:drawing>
          <wp:inline distT="0" distB="0" distL="114300" distR="114300">
            <wp:extent cx="2015490" cy="1929765"/>
            <wp:effectExtent l="0" t="0" r="0" b="0"/>
            <wp:docPr id="2" name="图片 4" descr="PIK3CA (G104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IK3CA (G1049S)"/>
                    <pic:cNvPicPr>
                      <a:picLocks noChangeAspect="1"/>
                    </pic:cNvPicPr>
                  </pic:nvPicPr>
                  <pic:blipFill>
                    <a:blip r:embed="rId10"/>
                    <a:stretch>
                      <a:fillRect/>
                    </a:stretch>
                  </pic:blipFill>
                  <pic:spPr>
                    <a:xfrm>
                      <a:off x="0" y="0"/>
                      <a:ext cx="2015490" cy="1929765"/>
                    </a:xfrm>
                    <a:prstGeom prst="rect">
                      <a:avLst/>
                    </a:prstGeom>
                    <a:noFill/>
                    <a:ln>
                      <a:noFill/>
                    </a:ln>
                  </pic:spPr>
                </pic:pic>
              </a:graphicData>
            </a:graphic>
          </wp:inline>
        </w:drawing>
      </w:r>
    </w:p>
    <w:p w14:paraId="7517145C">
      <w:pPr>
        <w:autoSpaceDE w:val="0"/>
        <w:autoSpaceDN w:val="0"/>
        <w:adjustRightInd w:val="0"/>
        <w:jc w:val="left"/>
        <w:rPr>
          <w:b/>
          <w:szCs w:val="21"/>
        </w:rPr>
      </w:pPr>
      <w:r>
        <w:rPr>
          <w:b/>
          <w:szCs w:val="21"/>
          <w:lang/>
        </w:rPr>
        <w:t xml:space="preserve">Western blot analysis of recombinant </w:t>
      </w:r>
      <w:r>
        <w:rPr>
          <w:b/>
          <w:szCs w:val="21"/>
        </w:rPr>
        <w:t xml:space="preserve">PIK3CA (G1049S) </w:t>
      </w:r>
      <w:r>
        <w:rPr>
          <w:b/>
          <w:szCs w:val="21"/>
          <w:lang/>
        </w:rPr>
        <w:t>and wildtype proteins.</w:t>
      </w:r>
      <w:r>
        <w:rPr>
          <w:szCs w:val="21"/>
          <w:lang/>
        </w:rPr>
        <w:t xml:space="preserve"> </w:t>
      </w:r>
      <w:r>
        <w:rPr>
          <w:szCs w:val="21"/>
        </w:rPr>
        <w:t xml:space="preserve">Purified His-tagged PIK3CA (G1049S) protein (lane 2) and corresponding wildtype protein (lane 1) were blotted with anti-PIK3CA (G1049S) monoclonal antibody </w:t>
      </w:r>
      <w:r>
        <w:rPr>
          <w:szCs w:val="21"/>
          <w:lang/>
        </w:rPr>
        <w:t>(Cat. #</w:t>
      </w:r>
      <w:r>
        <w:rPr>
          <w:szCs w:val="21"/>
        </w:rPr>
        <w:t>26219</w:t>
      </w:r>
      <w:r>
        <w:rPr>
          <w:szCs w:val="21"/>
          <w:lang/>
        </w:rPr>
        <w:t xml:space="preserve">). </w:t>
      </w:r>
    </w:p>
    <w:p w14:paraId="02FA3476">
      <w:pPr>
        <w:autoSpaceDE w:val="0"/>
        <w:autoSpaceDN w:val="0"/>
        <w:adjustRightInd w:val="0"/>
        <w:jc w:val="left"/>
        <w:rPr>
          <w:szCs w:val="21"/>
          <w:lang/>
        </w:rPr>
      </w:pPr>
    </w:p>
    <w:p w14:paraId="270CB73F">
      <w:pPr>
        <w:autoSpaceDE w:val="0"/>
        <w:autoSpaceDN w:val="0"/>
        <w:adjustRightInd w:val="0"/>
        <w:jc w:val="left"/>
        <w:rPr>
          <w:szCs w:val="21"/>
          <w:lang/>
        </w:rPr>
      </w:pPr>
    </w:p>
    <w:p w14:paraId="6FE19801">
      <w:pPr>
        <w:autoSpaceDE w:val="0"/>
        <w:autoSpaceDN w:val="0"/>
        <w:adjustRightInd w:val="0"/>
        <w:jc w:val="left"/>
        <w:rPr>
          <w:szCs w:val="21"/>
          <w:lang/>
        </w:rPr>
      </w:pPr>
    </w:p>
    <w:p w14:paraId="68D44996">
      <w:pPr>
        <w:autoSpaceDE w:val="0"/>
        <w:autoSpaceDN w:val="0"/>
        <w:adjustRightInd w:val="0"/>
        <w:jc w:val="left"/>
        <w:rPr>
          <w:rFonts w:hint="eastAsia"/>
          <w:szCs w:val="21"/>
          <w:lang/>
        </w:rPr>
      </w:pPr>
    </w:p>
    <w:p w14:paraId="7E17C4D8">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1463F5C9">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546F7E4C">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454D4B0B">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7BC3B59C">
      <w:pPr>
        <w:autoSpaceDE w:val="0"/>
        <w:autoSpaceDN w:val="0"/>
        <w:adjustRightInd w:val="0"/>
        <w:jc w:val="left"/>
        <w:rPr>
          <w:rFonts w:hint="eastAsia"/>
          <w:szCs w:val="21"/>
          <w:lang/>
        </w:rPr>
      </w:pPr>
    </w:p>
    <w:p w14:paraId="01AC8FCE">
      <w:pPr>
        <w:autoSpaceDE w:val="0"/>
        <w:autoSpaceDN w:val="0"/>
        <w:adjustRightInd w:val="0"/>
        <w:jc w:val="left"/>
        <w:rPr>
          <w:rFonts w:hint="eastAsia"/>
          <w:szCs w:val="21"/>
          <w:lang/>
        </w:rPr>
      </w:pPr>
    </w:p>
    <w:p w14:paraId="6FE03061">
      <w:pPr>
        <w:autoSpaceDE w:val="0"/>
        <w:autoSpaceDN w:val="0"/>
        <w:adjustRightInd w:val="0"/>
        <w:jc w:val="left"/>
        <w:rPr>
          <w:rFonts w:hint="eastAsia"/>
          <w:szCs w:val="21"/>
          <w:lang/>
        </w:rPr>
      </w:pPr>
    </w:p>
    <w:p w14:paraId="6075DA82">
      <w:pPr>
        <w:autoSpaceDE w:val="0"/>
        <w:autoSpaceDN w:val="0"/>
        <w:adjustRightInd w:val="0"/>
        <w:jc w:val="left"/>
        <w:rPr>
          <w:rFonts w:hint="eastAsia"/>
          <w:szCs w:val="21"/>
          <w:lang/>
        </w:rPr>
      </w:pPr>
    </w:p>
    <w:p w14:paraId="7397F6CC">
      <w:pPr>
        <w:autoSpaceDE w:val="0"/>
        <w:autoSpaceDN w:val="0"/>
        <w:adjustRightInd w:val="0"/>
        <w:jc w:val="left"/>
        <w:rPr>
          <w:rFonts w:hint="eastAsia"/>
          <w:szCs w:val="21"/>
          <w:lang/>
        </w:rPr>
      </w:pPr>
    </w:p>
    <w:p w14:paraId="186B4730">
      <w:pPr>
        <w:autoSpaceDE w:val="0"/>
        <w:autoSpaceDN w:val="0"/>
        <w:adjustRightInd w:val="0"/>
        <w:jc w:val="left"/>
        <w:rPr>
          <w:rFonts w:hint="eastAsia"/>
          <w:szCs w:val="21"/>
          <w:lang/>
        </w:rPr>
      </w:pPr>
    </w:p>
    <w:p w14:paraId="00BEAD82">
      <w:pPr>
        <w:autoSpaceDE w:val="0"/>
        <w:autoSpaceDN w:val="0"/>
        <w:adjustRightInd w:val="0"/>
        <w:jc w:val="left"/>
        <w:rPr>
          <w:rFonts w:hint="eastAsia"/>
          <w:szCs w:val="21"/>
          <w:lang/>
        </w:rPr>
      </w:pPr>
    </w:p>
    <w:p w14:paraId="1FB0D198">
      <w:pPr>
        <w:autoSpaceDE w:val="0"/>
        <w:autoSpaceDN w:val="0"/>
        <w:adjustRightInd w:val="0"/>
        <w:jc w:val="left"/>
        <w:rPr>
          <w:rFonts w:hint="eastAsia"/>
          <w:szCs w:val="21"/>
          <w:lang/>
        </w:rPr>
      </w:pPr>
    </w:p>
    <w:p w14:paraId="5FA78EC2">
      <w:pPr>
        <w:autoSpaceDE w:val="0"/>
        <w:autoSpaceDN w:val="0"/>
        <w:adjustRightInd w:val="0"/>
        <w:jc w:val="left"/>
        <w:rPr>
          <w:rFonts w:hint="eastAsia"/>
          <w:szCs w:val="21"/>
          <w:lang/>
        </w:rPr>
      </w:pPr>
    </w:p>
    <w:p w14:paraId="515E4245">
      <w:pPr>
        <w:autoSpaceDE w:val="0"/>
        <w:autoSpaceDN w:val="0"/>
        <w:adjustRightInd w:val="0"/>
        <w:jc w:val="left"/>
        <w:rPr>
          <w:b/>
          <w:szCs w:val="21"/>
        </w:rPr>
      </w:pPr>
    </w:p>
    <w:p w14:paraId="1BFCD115">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E0002AFF" w:usb1="C0007841" w:usb2="00000009"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74D87">
    <w:pPr>
      <w:jc w:val="center"/>
      <w:rPr>
        <w:rFonts w:hint="eastAsia" w:ascii="Arial" w:hAnsi="Arial" w:cs="Arial"/>
        <w:b/>
        <w:sz w:val="16"/>
        <w:szCs w:val="16"/>
      </w:rPr>
    </w:pPr>
  </w:p>
  <w:p w14:paraId="0D9E8FCD">
    <w:pPr>
      <w:jc w:val="center"/>
      <w:rPr>
        <w:rFonts w:hint="eastAsia" w:ascii="Arial" w:hAnsi="Arial" w:cs="Arial"/>
        <w:b/>
        <w:sz w:val="16"/>
        <w:szCs w:val="16"/>
      </w:rPr>
    </w:pPr>
  </w:p>
  <w:p w14:paraId="5F66EC36">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XFSWO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5860815">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73155">
    <w:pPr>
      <w:jc w:val="center"/>
      <w:rPr>
        <w:rFonts w:hint="eastAsia" w:ascii="Arial" w:hAnsi="Arial" w:cs="Arial"/>
        <w:b/>
        <w:sz w:val="16"/>
        <w:szCs w:val="16"/>
      </w:rPr>
    </w:pPr>
  </w:p>
  <w:p w14:paraId="0FB2E4E1">
    <w:pPr>
      <w:jc w:val="center"/>
      <w:rPr>
        <w:rFonts w:hint="eastAsia" w:ascii="Arial" w:hAnsi="Arial" w:cs="Arial"/>
        <w:b/>
        <w:sz w:val="16"/>
        <w:szCs w:val="16"/>
      </w:rPr>
    </w:pPr>
  </w:p>
  <w:p w14:paraId="19644398">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4A66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49038">
    <w:pPr>
      <w:ind w:right="-874" w:rightChars="-416"/>
      <w:rPr>
        <w:rFonts w:ascii="Arial Black" w:hAnsi="Arial Black" w:cs="Arial"/>
        <w:b/>
        <w:color w:val="339933"/>
        <w:sz w:val="24"/>
      </w:rPr>
    </w:pPr>
    <w:r>
      <w:rPr>
        <w:rFonts w:hint="eastAsia"/>
        <w:lang/>
      </w:rPr>
      <w:drawing>
        <wp:inline distT="0" distB="0" distL="114300" distR="114300">
          <wp:extent cx="1149350" cy="1069975"/>
          <wp:effectExtent l="0" t="0" r="12700" b="15875"/>
          <wp:docPr id="6"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999"/>
                  <pic:cNvPicPr>
                    <a:picLocks noChangeAspect="1"/>
                  </pic:cNvPicPr>
                </pic:nvPicPr>
                <pic:blipFill>
                  <a:blip r:embed="rId1"/>
                  <a:stretch>
                    <a:fillRect/>
                  </a:stretch>
                </pic:blipFill>
                <pic:spPr>
                  <a:xfrm>
                    <a:off x="0" y="0"/>
                    <a:ext cx="1149350" cy="106997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097AE">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3BDE9">
    <w:pPr>
      <w:ind w:right="-874" w:rightChars="-416"/>
      <w:rPr>
        <w:rFonts w:ascii="Arial Black" w:hAnsi="Arial Black" w:cs="Arial"/>
        <w:b/>
        <w:color w:val="339933"/>
        <w:sz w:val="24"/>
      </w:rPr>
    </w:pPr>
    <w:r>
      <w:rPr>
        <w:rFonts w:hint="eastAsia" w:ascii="Arial" w:hAnsi="Arial" w:cs="Arial"/>
        <w:b/>
        <w:color w:val="339933"/>
        <w:sz w:val="32"/>
        <w:szCs w:val="32"/>
      </w:rPr>
      <w:drawing>
        <wp:inline distT="0" distB="0" distL="114300" distR="114300">
          <wp:extent cx="5147310" cy="828675"/>
          <wp:effectExtent l="0" t="0" r="15240" b="9525"/>
          <wp:docPr id="7" name="图片 3" descr="Ne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New Header"/>
                  <pic:cNvPicPr>
                    <a:picLocks noChangeAspect="1"/>
                  </pic:cNvPicPr>
                </pic:nvPicPr>
                <pic:blipFill>
                  <a:blip r:embed="rId1"/>
                  <a:stretch>
                    <a:fillRect/>
                  </a:stretch>
                </pic:blipFill>
                <pic:spPr>
                  <a:xfrm>
                    <a:off x="0" y="0"/>
                    <a:ext cx="5147310" cy="82867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62A2AF76">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34"/>
    <w:rsid w:val="000D0C46"/>
    <w:rsid w:val="000D4EF2"/>
    <w:rsid w:val="000E1CE5"/>
    <w:rsid w:val="000F4D30"/>
    <w:rsid w:val="0013030D"/>
    <w:rsid w:val="00153537"/>
    <w:rsid w:val="00156FEF"/>
    <w:rsid w:val="001D092B"/>
    <w:rsid w:val="001D749F"/>
    <w:rsid w:val="00215CF5"/>
    <w:rsid w:val="002430A1"/>
    <w:rsid w:val="002833F9"/>
    <w:rsid w:val="002A5CB9"/>
    <w:rsid w:val="002F0E05"/>
    <w:rsid w:val="00310569"/>
    <w:rsid w:val="00320F7E"/>
    <w:rsid w:val="00327243"/>
    <w:rsid w:val="00335E9F"/>
    <w:rsid w:val="00343CA4"/>
    <w:rsid w:val="00397636"/>
    <w:rsid w:val="003B7767"/>
    <w:rsid w:val="004226C1"/>
    <w:rsid w:val="004475E2"/>
    <w:rsid w:val="00453EE8"/>
    <w:rsid w:val="00460EAD"/>
    <w:rsid w:val="0048602D"/>
    <w:rsid w:val="004B57D4"/>
    <w:rsid w:val="004E28A7"/>
    <w:rsid w:val="004E3C1A"/>
    <w:rsid w:val="00550515"/>
    <w:rsid w:val="005669F4"/>
    <w:rsid w:val="005A53E1"/>
    <w:rsid w:val="00610E67"/>
    <w:rsid w:val="006430ED"/>
    <w:rsid w:val="00652277"/>
    <w:rsid w:val="00752559"/>
    <w:rsid w:val="007D6967"/>
    <w:rsid w:val="00877A41"/>
    <w:rsid w:val="008B2738"/>
    <w:rsid w:val="008D2D7D"/>
    <w:rsid w:val="008E7F2D"/>
    <w:rsid w:val="0092305A"/>
    <w:rsid w:val="00947E93"/>
    <w:rsid w:val="00A11221"/>
    <w:rsid w:val="00A45B48"/>
    <w:rsid w:val="00B1781F"/>
    <w:rsid w:val="00B17CFD"/>
    <w:rsid w:val="00B24FF4"/>
    <w:rsid w:val="00B33577"/>
    <w:rsid w:val="00B84DD5"/>
    <w:rsid w:val="00BF2215"/>
    <w:rsid w:val="00C243CF"/>
    <w:rsid w:val="00C73C06"/>
    <w:rsid w:val="00CA6616"/>
    <w:rsid w:val="00CD2787"/>
    <w:rsid w:val="00CD4C98"/>
    <w:rsid w:val="00D11B6E"/>
    <w:rsid w:val="00D14A75"/>
    <w:rsid w:val="00D36E85"/>
    <w:rsid w:val="00D84566"/>
    <w:rsid w:val="00DA222B"/>
    <w:rsid w:val="00DF7B7B"/>
    <w:rsid w:val="00E1296D"/>
    <w:rsid w:val="00E64FF4"/>
    <w:rsid w:val="00E6503D"/>
    <w:rsid w:val="00ED0FD4"/>
    <w:rsid w:val="00F77EEB"/>
    <w:rsid w:val="00FA147F"/>
    <w:rsid w:val="00FD215B"/>
    <w:rsid w:val="00FD4EBC"/>
    <w:rsid w:val="413F04C9"/>
    <w:rsid w:val="739B12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paragraph" w:customStyle="1" w:styleId="11">
    <w:name w:val="Default"/>
    <w:uiPriority w:val="0"/>
    <w:pPr>
      <w:widowControl w:val="0"/>
      <w:autoSpaceDE w:val="0"/>
      <w:autoSpaceDN w:val="0"/>
      <w:adjustRightInd w:val="0"/>
    </w:pPr>
    <w:rPr>
      <w:rFonts w:ascii="Arial" w:hAnsi="Arial" w:cs="Arial"/>
      <w:color w:val="000000"/>
      <w:sz w:val="24"/>
      <w:szCs w:val="24"/>
      <w:lang w:val="en-US" w:eastAsia="zh-CN" w:bidi="ar-SA"/>
    </w:rPr>
  </w:style>
  <w:style w:type="character" w:customStyle="1" w:styleId="12">
    <w:name w:val="apple-converted-space"/>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220</Words>
  <Characters>1336</Characters>
  <Lines>15</Lines>
  <Paragraphs>4</Paragraphs>
  <TotalTime>0</TotalTime>
  <ScaleCrop>false</ScaleCrop>
  <LinksUpToDate>false</LinksUpToDate>
  <CharactersWithSpaces>1521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2025-08-15T08:05:33Z</dcterms:modified>
  <dc:title>Akt1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D6D9B5F1417A4DC3A48E36D7B2BE86E2_13</vt:lpwstr>
  </property>
</Properties>
</file>